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C6" w:rsidRDefault="00656C79">
      <w:pPr>
        <w:shd w:val="clear" w:color="auto" w:fill="FFFFFF"/>
        <w:spacing w:after="0"/>
        <w:jc w:val="center"/>
        <w:rPr>
          <w:rFonts w:eastAsia="Roboto"/>
          <w:b/>
          <w:i/>
          <w:color w:val="000000"/>
          <w:sz w:val="70"/>
          <w:szCs w:val="70"/>
          <w:u w:val="single"/>
        </w:rPr>
      </w:pPr>
      <w:r>
        <w:rPr>
          <w:rFonts w:eastAsia="Roboto"/>
          <w:b/>
          <w:i/>
          <w:color w:val="000000"/>
          <w:sz w:val="70"/>
          <w:szCs w:val="70"/>
          <w:u w:val="single"/>
        </w:rPr>
        <w:t>Fédération Algérienne de Football</w:t>
      </w:r>
    </w:p>
    <w:p w:rsidR="001830C6" w:rsidRDefault="00656C79">
      <w:pPr>
        <w:shd w:val="clear" w:color="auto" w:fill="FFFFFF"/>
        <w:spacing w:after="0"/>
        <w:jc w:val="center"/>
        <w:rPr>
          <w:rFonts w:eastAsia="Roboto"/>
          <w:b/>
          <w:i/>
          <w:color w:val="000000"/>
          <w:sz w:val="50"/>
          <w:szCs w:val="50"/>
          <w:u w:val="single"/>
        </w:rPr>
      </w:pPr>
      <w:r>
        <w:rPr>
          <w:rFonts w:eastAsia="Roboto"/>
          <w:b/>
          <w:i/>
          <w:color w:val="000000"/>
          <w:sz w:val="50"/>
          <w:szCs w:val="50"/>
          <w:u w:val="single"/>
        </w:rPr>
        <w:t>Ligue de Football professionnel</w:t>
      </w:r>
    </w:p>
    <w:p w:rsidR="001830C6" w:rsidRDefault="00656C79">
      <w:pPr>
        <w:shd w:val="clear" w:color="auto" w:fill="FFFFFF"/>
        <w:spacing w:after="0"/>
        <w:jc w:val="center"/>
        <w:rPr>
          <w:rFonts w:eastAsia="Roboto"/>
          <w:b/>
          <w:i/>
          <w:color w:val="000000"/>
          <w:sz w:val="40"/>
          <w:szCs w:val="40"/>
          <w:u w:val="single"/>
        </w:rPr>
      </w:pPr>
      <w:r>
        <w:rPr>
          <w:rFonts w:eastAsia="Roboto"/>
          <w:b/>
          <w:i/>
          <w:color w:val="000000"/>
          <w:sz w:val="40"/>
          <w:szCs w:val="40"/>
          <w:u w:val="single"/>
        </w:rPr>
        <w:t>Commission de discipline</w:t>
      </w:r>
    </w:p>
    <w:p w:rsidR="001830C6" w:rsidRDefault="001830C6">
      <w:pPr>
        <w:shd w:val="clear" w:color="auto" w:fill="FFFFFF"/>
        <w:spacing w:after="0"/>
        <w:jc w:val="center"/>
        <w:rPr>
          <w:rFonts w:eastAsia="Roboto"/>
          <w:b/>
          <w:i/>
          <w:color w:val="000000"/>
          <w:sz w:val="40"/>
          <w:szCs w:val="40"/>
          <w:u w:val="single"/>
        </w:rPr>
      </w:pPr>
    </w:p>
    <w:p w:rsidR="001830C6" w:rsidRDefault="00656C79">
      <w:pPr>
        <w:shd w:val="clear" w:color="auto" w:fill="FFFFFF"/>
        <w:spacing w:after="0"/>
        <w:jc w:val="center"/>
        <w:rPr>
          <w:rFonts w:eastAsia="Roboto"/>
          <w:b/>
          <w:i/>
          <w:color w:val="000000"/>
          <w:sz w:val="40"/>
          <w:szCs w:val="40"/>
          <w:u w:val="single"/>
        </w:rPr>
      </w:pPr>
      <w:r>
        <w:rPr>
          <w:rFonts w:eastAsia="Roboto"/>
          <w:b/>
          <w:i/>
          <w:color w:val="000000"/>
          <w:sz w:val="40"/>
          <w:szCs w:val="40"/>
          <w:u w:val="single"/>
        </w:rPr>
        <w:t xml:space="preserve">Reliquats des Sanctions seniors </w:t>
      </w:r>
      <w:r>
        <w:rPr>
          <w:rFonts w:eastAsia="Roboto"/>
          <w:b/>
          <w:i/>
          <w:color w:val="000000"/>
          <w:sz w:val="40"/>
          <w:szCs w:val="40"/>
          <w:u w:val="single"/>
        </w:rPr>
        <w:t>2022</w:t>
      </w:r>
      <w:r>
        <w:rPr>
          <w:rFonts w:eastAsia="Roboto"/>
          <w:b/>
          <w:i/>
          <w:color w:val="000000"/>
          <w:sz w:val="40"/>
          <w:szCs w:val="40"/>
          <w:u w:val="single"/>
        </w:rPr>
        <w:t>/</w:t>
      </w:r>
      <w:r>
        <w:rPr>
          <w:rFonts w:eastAsia="Roboto"/>
          <w:b/>
          <w:i/>
          <w:color w:val="000000"/>
          <w:sz w:val="40"/>
          <w:szCs w:val="40"/>
          <w:u w:val="single"/>
        </w:rPr>
        <w:t>2023</w:t>
      </w:r>
    </w:p>
    <w:p w:rsidR="001830C6" w:rsidRDefault="00656C79">
      <w:pPr>
        <w:shd w:val="clear" w:color="auto" w:fill="FFFFFF"/>
        <w:spacing w:after="0"/>
        <w:jc w:val="center"/>
        <w:rPr>
          <w:rFonts w:eastAsia="Roboto"/>
          <w:b/>
          <w:i/>
          <w:color w:val="000000"/>
          <w:sz w:val="36"/>
          <w:szCs w:val="36"/>
          <w:u w:val="single"/>
        </w:rPr>
      </w:pPr>
      <w:r>
        <w:rPr>
          <w:rFonts w:eastAsia="Roboto"/>
          <w:b/>
          <w:i/>
          <w:color w:val="000000"/>
          <w:sz w:val="36"/>
          <w:szCs w:val="36"/>
          <w:u w:val="single"/>
        </w:rPr>
        <w:t>Conformément à l’article 130 du règlement</w:t>
      </w:r>
    </w:p>
    <w:p w:rsidR="001830C6" w:rsidRDefault="00656C79">
      <w:pPr>
        <w:shd w:val="clear" w:color="auto" w:fill="FFFFFF"/>
        <w:spacing w:after="0"/>
        <w:jc w:val="center"/>
        <w:rPr>
          <w:rFonts w:eastAsia="Roboto"/>
          <w:b/>
          <w:i/>
          <w:color w:val="000000"/>
          <w:sz w:val="36"/>
          <w:szCs w:val="36"/>
          <w:u w:val="single"/>
        </w:rPr>
      </w:pPr>
      <w:r>
        <w:rPr>
          <w:rFonts w:eastAsia="Roboto"/>
          <w:b/>
          <w:i/>
          <w:color w:val="000000"/>
          <w:sz w:val="36"/>
          <w:szCs w:val="36"/>
          <w:u w:val="single"/>
        </w:rPr>
        <w:t>D</w:t>
      </w:r>
      <w:r>
        <w:rPr>
          <w:rFonts w:eastAsia="Roboto"/>
          <w:b/>
          <w:i/>
          <w:color w:val="000000"/>
          <w:sz w:val="36"/>
          <w:szCs w:val="36"/>
          <w:u w:val="single"/>
        </w:rPr>
        <w:t>u</w:t>
      </w:r>
      <w:r>
        <w:rPr>
          <w:rFonts w:eastAsia="Roboto"/>
          <w:b/>
          <w:i/>
          <w:color w:val="000000"/>
          <w:sz w:val="36"/>
          <w:szCs w:val="36"/>
          <w:u w:val="single"/>
        </w:rPr>
        <w:t xml:space="preserve"> championnat professionnel.</w:t>
      </w:r>
    </w:p>
    <w:p w:rsidR="001830C6" w:rsidRDefault="001830C6">
      <w:pPr>
        <w:shd w:val="clear" w:color="auto" w:fill="FFFFFF"/>
        <w:spacing w:after="0"/>
        <w:jc w:val="center"/>
        <w:rPr>
          <w:rFonts w:eastAsia="Roboto"/>
          <w:b/>
          <w:i/>
          <w:color w:val="000000"/>
          <w:sz w:val="36"/>
          <w:szCs w:val="36"/>
          <w:u w:val="single"/>
        </w:rPr>
      </w:pPr>
    </w:p>
    <w:p w:rsidR="001830C6" w:rsidRDefault="00656C79">
      <w:pPr>
        <w:rPr>
          <w:rFonts w:eastAsia="Roboto"/>
          <w:sz w:val="32"/>
          <w:szCs w:val="32"/>
        </w:rPr>
      </w:pPr>
      <w:r>
        <w:rPr>
          <w:rFonts w:eastAsia="Roboto"/>
          <w:sz w:val="32"/>
          <w:szCs w:val="32"/>
        </w:rPr>
        <w:t xml:space="preserve">La commission de discipline rappelle l’ensemble </w:t>
      </w:r>
      <w:r>
        <w:rPr>
          <w:rFonts w:eastAsia="Roboto"/>
          <w:sz w:val="32"/>
          <w:szCs w:val="32"/>
        </w:rPr>
        <w:t>des clubs de la ligue 1 les dispositions de</w:t>
      </w:r>
      <w:r>
        <w:rPr>
          <w:rFonts w:eastAsia="Roboto"/>
          <w:b/>
          <w:sz w:val="32"/>
          <w:szCs w:val="32"/>
        </w:rPr>
        <w:t xml:space="preserve"> </w:t>
      </w:r>
      <w:r>
        <w:rPr>
          <w:rFonts w:eastAsia="Roboto"/>
          <w:sz w:val="32"/>
          <w:szCs w:val="32"/>
        </w:rPr>
        <w:t>l’Article 34/2 et 35 du code disciplinaire de la FAF</w:t>
      </w:r>
    </w:p>
    <w:p w:rsidR="001830C6" w:rsidRDefault="00656C79">
      <w:pPr>
        <w:rPr>
          <w:rFonts w:eastAsia="Roboto"/>
          <w:sz w:val="28"/>
          <w:szCs w:val="28"/>
        </w:rPr>
      </w:pPr>
      <w:r>
        <w:rPr>
          <w:rFonts w:eastAsia="Roboto"/>
          <w:b/>
          <w:sz w:val="28"/>
          <w:szCs w:val="28"/>
        </w:rPr>
        <w:t xml:space="preserve">l’Article 34/2 du code disciplinaire : </w:t>
      </w:r>
      <w:r>
        <w:rPr>
          <w:rFonts w:eastAsia="Roboto"/>
          <w:sz w:val="28"/>
          <w:szCs w:val="28"/>
        </w:rPr>
        <w:t xml:space="preserve">à la fin d’une saison sportive, et </w:t>
      </w:r>
      <w:proofErr w:type="spellStart"/>
      <w:r>
        <w:rPr>
          <w:rFonts w:eastAsia="Roboto"/>
          <w:sz w:val="28"/>
          <w:szCs w:val="28"/>
        </w:rPr>
        <w:t>a</w:t>
      </w:r>
      <w:proofErr w:type="spellEnd"/>
      <w:r>
        <w:rPr>
          <w:rFonts w:eastAsia="Roboto"/>
          <w:sz w:val="28"/>
          <w:szCs w:val="28"/>
        </w:rPr>
        <w:t xml:space="preserve"> l’exception des amendes financières, </w:t>
      </w:r>
      <w:r>
        <w:rPr>
          <w:rFonts w:eastAsia="Roboto"/>
          <w:b/>
          <w:sz w:val="28"/>
          <w:szCs w:val="28"/>
        </w:rPr>
        <w:t>les avertissements</w:t>
      </w:r>
      <w:r>
        <w:rPr>
          <w:rFonts w:eastAsia="Roboto"/>
          <w:sz w:val="28"/>
          <w:szCs w:val="28"/>
        </w:rPr>
        <w:t xml:space="preserve"> infligés aux joueurs prévus</w:t>
      </w:r>
      <w:r>
        <w:rPr>
          <w:rFonts w:eastAsia="Roboto"/>
          <w:sz w:val="28"/>
          <w:szCs w:val="28"/>
        </w:rPr>
        <w:t xml:space="preserve"> par les articles 41 et 42 ainsi que, </w:t>
      </w:r>
      <w:r>
        <w:rPr>
          <w:rFonts w:eastAsia="Roboto"/>
          <w:b/>
          <w:sz w:val="28"/>
          <w:szCs w:val="28"/>
        </w:rPr>
        <w:t>les sanctions relatives à la suspension d’un match ferme</w:t>
      </w:r>
      <w:r>
        <w:rPr>
          <w:rFonts w:eastAsia="Roboto"/>
          <w:sz w:val="28"/>
          <w:szCs w:val="28"/>
        </w:rPr>
        <w:t xml:space="preserve"> prévues par les articles 43 et 44 du présent code disciplinaire </w:t>
      </w:r>
      <w:r>
        <w:rPr>
          <w:rFonts w:eastAsia="Roboto"/>
          <w:b/>
          <w:sz w:val="28"/>
          <w:szCs w:val="28"/>
        </w:rPr>
        <w:t>sont annulés</w:t>
      </w:r>
      <w:r>
        <w:rPr>
          <w:rFonts w:eastAsia="Roboto"/>
          <w:sz w:val="28"/>
          <w:szCs w:val="28"/>
        </w:rPr>
        <w:t>.il ne sont pas reportés pour la saison suivante.</w:t>
      </w:r>
    </w:p>
    <w:p w:rsidR="001830C6" w:rsidRDefault="00656C79">
      <w:pPr>
        <w:rPr>
          <w:rFonts w:eastAsia="Roboto"/>
          <w:sz w:val="28"/>
          <w:szCs w:val="28"/>
        </w:rPr>
      </w:pPr>
      <w:r>
        <w:rPr>
          <w:rFonts w:eastAsia="Roboto"/>
          <w:b/>
          <w:sz w:val="28"/>
          <w:szCs w:val="28"/>
        </w:rPr>
        <w:t>Article 35 du code disciplinaire</w:t>
      </w:r>
      <w:r>
        <w:rPr>
          <w:rFonts w:eastAsia="Roboto"/>
          <w:sz w:val="28"/>
          <w:szCs w:val="28"/>
        </w:rPr>
        <w:t xml:space="preserve"> : </w:t>
      </w:r>
      <w:r>
        <w:rPr>
          <w:rFonts w:eastAsia="Roboto"/>
          <w:b/>
          <w:sz w:val="28"/>
          <w:szCs w:val="28"/>
        </w:rPr>
        <w:t>annulation de la sanction non purgée</w:t>
      </w:r>
      <w:r>
        <w:rPr>
          <w:rFonts w:eastAsia="Roboto"/>
          <w:sz w:val="28"/>
          <w:szCs w:val="28"/>
        </w:rPr>
        <w:t>.</w:t>
      </w:r>
    </w:p>
    <w:p w:rsidR="001830C6" w:rsidRDefault="00656C79">
      <w:pPr>
        <w:rPr>
          <w:rFonts w:eastAsia="Roboto"/>
          <w:sz w:val="28"/>
          <w:szCs w:val="28"/>
        </w:rPr>
      </w:pPr>
      <w:r>
        <w:rPr>
          <w:rFonts w:eastAsia="Roboto"/>
          <w:sz w:val="28"/>
          <w:szCs w:val="28"/>
        </w:rPr>
        <w:lastRenderedPageBreak/>
        <w:t xml:space="preserve">A la fin d’une saison sportive, la sanction pour </w:t>
      </w:r>
      <w:r>
        <w:rPr>
          <w:rFonts w:eastAsia="Roboto"/>
          <w:b/>
          <w:sz w:val="28"/>
          <w:szCs w:val="28"/>
        </w:rPr>
        <w:t>un match de suspension ferme non purgée est annulée</w:t>
      </w:r>
      <w:r>
        <w:rPr>
          <w:rFonts w:eastAsia="Roboto"/>
          <w:sz w:val="28"/>
          <w:szCs w:val="28"/>
        </w:rPr>
        <w:t>. Elle ne peut être reportée pour la saison suivante.</w:t>
      </w:r>
    </w:p>
    <w:tbl>
      <w:tblPr>
        <w:tblStyle w:val="Style10"/>
        <w:tblpPr w:leftFromText="180" w:rightFromText="180" w:vertAnchor="text" w:horzAnchor="page" w:tblpX="1363" w:tblpY="987"/>
        <w:tblOverlap w:val="never"/>
        <w:tblW w:w="14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575"/>
        <w:gridCol w:w="1245"/>
        <w:gridCol w:w="1890"/>
        <w:gridCol w:w="1020"/>
        <w:gridCol w:w="1109"/>
        <w:gridCol w:w="3759"/>
        <w:gridCol w:w="1744"/>
        <w:gridCol w:w="1443"/>
      </w:tblGrid>
      <w:tr w:rsidR="001830C6">
        <w:trPr>
          <w:trHeight w:val="402"/>
        </w:trPr>
        <w:tc>
          <w:tcPr>
            <w:tcW w:w="1075" w:type="dxa"/>
            <w:shd w:val="clear" w:color="auto" w:fill="C6D9F1"/>
          </w:tcPr>
          <w:p w:rsidR="001830C6" w:rsidRDefault="00656C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Clubs</w:t>
            </w:r>
          </w:p>
        </w:tc>
        <w:tc>
          <w:tcPr>
            <w:tcW w:w="1575" w:type="dxa"/>
            <w:shd w:val="clear" w:color="auto" w:fill="C6D9F1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Qualité</w:t>
            </w:r>
          </w:p>
        </w:tc>
        <w:tc>
          <w:tcPr>
            <w:tcW w:w="1245" w:type="dxa"/>
            <w:shd w:val="clear" w:color="auto" w:fill="C6D9F1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Licence N°</w:t>
            </w:r>
          </w:p>
        </w:tc>
        <w:tc>
          <w:tcPr>
            <w:tcW w:w="1890" w:type="dxa"/>
            <w:shd w:val="clear" w:color="auto" w:fill="C6D9F1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Nom &amp; Prénom</w:t>
            </w:r>
          </w:p>
        </w:tc>
        <w:tc>
          <w:tcPr>
            <w:tcW w:w="1020" w:type="dxa"/>
            <w:shd w:val="clear" w:color="auto" w:fill="C6D9F1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Affaire N°</w:t>
            </w:r>
          </w:p>
        </w:tc>
        <w:tc>
          <w:tcPr>
            <w:tcW w:w="1109" w:type="dxa"/>
            <w:shd w:val="clear" w:color="auto" w:fill="C6D9F1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PV N°</w:t>
            </w:r>
          </w:p>
        </w:tc>
        <w:tc>
          <w:tcPr>
            <w:tcW w:w="3759" w:type="dxa"/>
            <w:shd w:val="clear" w:color="auto" w:fill="C6D9F1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Sanction </w:t>
            </w:r>
            <w:r>
              <w:rPr>
                <w:sz w:val="28"/>
                <w:szCs w:val="28"/>
                <w:u w:val="single"/>
              </w:rPr>
              <w:t>à purger</w:t>
            </w:r>
          </w:p>
        </w:tc>
        <w:tc>
          <w:tcPr>
            <w:tcW w:w="1744" w:type="dxa"/>
            <w:shd w:val="clear" w:color="auto" w:fill="C6D9F1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Date d’effet</w:t>
            </w:r>
          </w:p>
        </w:tc>
        <w:tc>
          <w:tcPr>
            <w:tcW w:w="1443" w:type="dxa"/>
            <w:shd w:val="clear" w:color="auto" w:fill="C6D9F1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Huis Clos</w:t>
            </w:r>
          </w:p>
        </w:tc>
      </w:tr>
      <w:tr w:rsidR="001830C6">
        <w:trPr>
          <w:trHeight w:val="2145"/>
        </w:trPr>
        <w:tc>
          <w:tcPr>
            <w:tcW w:w="1075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CSC</w:t>
            </w:r>
          </w:p>
        </w:tc>
        <w:tc>
          <w:tcPr>
            <w:tcW w:w="1575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245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/</w:t>
            </w:r>
          </w:p>
        </w:tc>
        <w:tc>
          <w:tcPr>
            <w:tcW w:w="1890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020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233</w:t>
            </w:r>
          </w:p>
        </w:tc>
        <w:tc>
          <w:tcPr>
            <w:tcW w:w="1109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49</w:t>
            </w:r>
          </w:p>
        </w:tc>
        <w:tc>
          <w:tcPr>
            <w:tcW w:w="3759" w:type="dxa"/>
            <w:shd w:val="clear" w:color="auto" w:fill="EBF1DD"/>
          </w:tcPr>
          <w:p w:rsidR="001830C6" w:rsidRDefault="00656C79">
            <w:pPr>
              <w:tabs>
                <w:tab w:val="left" w:pos="111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color w:val="000000"/>
                <w:sz w:val="28"/>
                <w:szCs w:val="28"/>
              </w:rPr>
              <w:t>(01) match</w:t>
            </w:r>
            <w:r>
              <w:rPr>
                <w:color w:val="000000"/>
                <w:sz w:val="28"/>
                <w:szCs w:val="28"/>
              </w:rPr>
              <w:t xml:space="preserve"> à huis clos plus </w:t>
            </w:r>
            <w:r>
              <w:rPr>
                <w:b/>
                <w:bCs/>
                <w:color w:val="FF0000"/>
                <w:sz w:val="28"/>
                <w:szCs w:val="28"/>
              </w:rPr>
              <w:t>200.000 DA</w:t>
            </w:r>
            <w:r>
              <w:rPr>
                <w:color w:val="000000"/>
                <w:sz w:val="28"/>
                <w:szCs w:val="28"/>
              </w:rPr>
              <w:t xml:space="preserve"> amende (Art 69, résolution BF)</w:t>
            </w:r>
          </w:p>
          <w:p w:rsidR="001830C6" w:rsidRDefault="001830C6">
            <w:pPr>
              <w:spacing w:before="280" w:after="28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EBF1DD"/>
          </w:tcPr>
          <w:p w:rsidR="001830C6" w:rsidRDefault="0065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</w:t>
            </w:r>
            <w:r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43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</w:rPr>
              <w:t>Reste 01 match à huis clos</w:t>
            </w:r>
          </w:p>
        </w:tc>
      </w:tr>
      <w:tr w:rsidR="001830C6">
        <w:trPr>
          <w:trHeight w:val="1165"/>
        </w:trPr>
        <w:tc>
          <w:tcPr>
            <w:tcW w:w="1075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RCA</w:t>
            </w:r>
          </w:p>
        </w:tc>
        <w:tc>
          <w:tcPr>
            <w:tcW w:w="1575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245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/</w:t>
            </w:r>
          </w:p>
          <w:p w:rsidR="001830C6" w:rsidRDefault="001830C6">
            <w:pPr>
              <w:jc w:val="center"/>
              <w:rPr>
                <w:b/>
                <w:sz w:val="28"/>
                <w:szCs w:val="28"/>
              </w:rPr>
            </w:pPr>
          </w:p>
          <w:p w:rsidR="001830C6" w:rsidRDefault="001830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  <w:p w:rsidR="001830C6" w:rsidRDefault="001830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20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237</w:t>
            </w: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09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49</w:t>
            </w: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759" w:type="dxa"/>
            <w:shd w:val="clear" w:color="auto" w:fill="EBF1DD"/>
          </w:tcPr>
          <w:p w:rsidR="001830C6" w:rsidRDefault="00656C79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color w:val="000000"/>
                <w:sz w:val="28"/>
                <w:szCs w:val="28"/>
              </w:rPr>
              <w:t>(01) match</w:t>
            </w:r>
            <w:r>
              <w:rPr>
                <w:color w:val="000000"/>
                <w:sz w:val="28"/>
                <w:szCs w:val="28"/>
              </w:rPr>
              <w:t xml:space="preserve"> à huis clos plus </w:t>
            </w:r>
            <w:r>
              <w:rPr>
                <w:b/>
                <w:bCs/>
                <w:color w:val="FF0000"/>
                <w:sz w:val="28"/>
                <w:szCs w:val="28"/>
              </w:rPr>
              <w:t>200.000 DA</w:t>
            </w:r>
            <w:r>
              <w:rPr>
                <w:color w:val="000000"/>
                <w:sz w:val="28"/>
                <w:szCs w:val="28"/>
              </w:rPr>
              <w:t xml:space="preserve"> amende (Art 69, résolution BF)</w:t>
            </w:r>
          </w:p>
        </w:tc>
        <w:tc>
          <w:tcPr>
            <w:tcW w:w="1744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43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</w:rPr>
              <w:t>Reste 01 match à huis clos</w:t>
            </w:r>
          </w:p>
        </w:tc>
      </w:tr>
      <w:tr w:rsidR="001830C6">
        <w:trPr>
          <w:trHeight w:val="1165"/>
        </w:trPr>
        <w:tc>
          <w:tcPr>
            <w:tcW w:w="1075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MCA</w:t>
            </w:r>
          </w:p>
        </w:tc>
        <w:tc>
          <w:tcPr>
            <w:tcW w:w="1575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245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/</w:t>
            </w:r>
          </w:p>
          <w:p w:rsidR="001830C6" w:rsidRDefault="001830C6">
            <w:pPr>
              <w:jc w:val="center"/>
              <w:rPr>
                <w:b/>
                <w:sz w:val="28"/>
                <w:szCs w:val="28"/>
              </w:rPr>
            </w:pPr>
          </w:p>
          <w:p w:rsidR="001830C6" w:rsidRDefault="001830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  <w:p w:rsidR="001830C6" w:rsidRDefault="001830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20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240</w:t>
            </w: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09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49</w:t>
            </w: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759" w:type="dxa"/>
            <w:shd w:val="clear" w:color="auto" w:fill="EBF1DD"/>
          </w:tcPr>
          <w:p w:rsidR="001830C6" w:rsidRDefault="00656C79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color w:val="000000"/>
                <w:sz w:val="28"/>
                <w:szCs w:val="28"/>
              </w:rPr>
              <w:t>(01) match</w:t>
            </w:r>
            <w:r>
              <w:rPr>
                <w:color w:val="000000"/>
                <w:sz w:val="28"/>
                <w:szCs w:val="28"/>
              </w:rPr>
              <w:t xml:space="preserve"> à huis clos plus </w:t>
            </w:r>
            <w:r>
              <w:rPr>
                <w:b/>
                <w:bCs/>
                <w:color w:val="FF0000"/>
                <w:sz w:val="28"/>
                <w:szCs w:val="28"/>
              </w:rPr>
              <w:t>200.000 DA</w:t>
            </w:r>
            <w:r>
              <w:rPr>
                <w:color w:val="000000"/>
                <w:sz w:val="28"/>
                <w:szCs w:val="28"/>
              </w:rPr>
              <w:t xml:space="preserve"> amende (Art 69, résolution BF)</w:t>
            </w:r>
          </w:p>
        </w:tc>
        <w:tc>
          <w:tcPr>
            <w:tcW w:w="1744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43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</w:rPr>
              <w:t>Reste 01 match à huis clos</w:t>
            </w:r>
          </w:p>
        </w:tc>
      </w:tr>
      <w:tr w:rsidR="001830C6" w:rsidTr="00DE420F">
        <w:trPr>
          <w:trHeight w:val="1834"/>
        </w:trPr>
        <w:tc>
          <w:tcPr>
            <w:tcW w:w="1075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ESS</w:t>
            </w:r>
          </w:p>
        </w:tc>
        <w:tc>
          <w:tcPr>
            <w:tcW w:w="1575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245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/</w:t>
            </w:r>
          </w:p>
          <w:p w:rsidR="001830C6" w:rsidRDefault="001830C6">
            <w:pPr>
              <w:jc w:val="center"/>
              <w:rPr>
                <w:b/>
                <w:sz w:val="28"/>
                <w:szCs w:val="28"/>
              </w:rPr>
            </w:pPr>
          </w:p>
          <w:p w:rsidR="001830C6" w:rsidRDefault="001830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  <w:p w:rsidR="001830C6" w:rsidRDefault="001830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20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232</w:t>
            </w: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09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48</w:t>
            </w: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759" w:type="dxa"/>
            <w:shd w:val="clear" w:color="auto" w:fill="EBF1DD"/>
          </w:tcPr>
          <w:p w:rsidR="001830C6" w:rsidRDefault="00656C79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color w:val="000000"/>
                <w:sz w:val="28"/>
                <w:szCs w:val="28"/>
              </w:rPr>
              <w:t xml:space="preserve">(01) </w:t>
            </w:r>
            <w:r>
              <w:rPr>
                <w:b/>
                <w:color w:val="000000"/>
                <w:sz w:val="28"/>
                <w:szCs w:val="28"/>
              </w:rPr>
              <w:t>match</w:t>
            </w:r>
            <w:r>
              <w:rPr>
                <w:color w:val="000000"/>
                <w:sz w:val="28"/>
                <w:szCs w:val="28"/>
              </w:rPr>
              <w:t xml:space="preserve"> à huis clos plus </w:t>
            </w:r>
            <w:r>
              <w:rPr>
                <w:b/>
                <w:bCs/>
                <w:color w:val="FF0000"/>
                <w:sz w:val="28"/>
                <w:szCs w:val="28"/>
              </w:rPr>
              <w:t>200.000 DA</w:t>
            </w:r>
            <w:r>
              <w:rPr>
                <w:color w:val="000000"/>
                <w:sz w:val="28"/>
                <w:szCs w:val="28"/>
              </w:rPr>
              <w:t xml:space="preserve"> amende (Art 69, résolution BF)</w:t>
            </w:r>
          </w:p>
        </w:tc>
        <w:tc>
          <w:tcPr>
            <w:tcW w:w="1744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43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</w:rPr>
              <w:t>Reste 01 match à huis clos</w:t>
            </w:r>
          </w:p>
        </w:tc>
      </w:tr>
      <w:tr w:rsidR="001830C6">
        <w:trPr>
          <w:trHeight w:val="1165"/>
        </w:trPr>
        <w:tc>
          <w:tcPr>
            <w:tcW w:w="1075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MCA</w:t>
            </w:r>
          </w:p>
        </w:tc>
        <w:tc>
          <w:tcPr>
            <w:tcW w:w="1575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Joueur</w:t>
            </w:r>
          </w:p>
        </w:tc>
        <w:tc>
          <w:tcPr>
            <w:tcW w:w="1245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695010002</w:t>
            </w:r>
          </w:p>
        </w:tc>
        <w:tc>
          <w:tcPr>
            <w:tcW w:w="1890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Hamidi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Kamel</w:t>
            </w:r>
          </w:p>
        </w:tc>
        <w:tc>
          <w:tcPr>
            <w:tcW w:w="1020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240</w:t>
            </w:r>
          </w:p>
        </w:tc>
        <w:tc>
          <w:tcPr>
            <w:tcW w:w="1109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49</w:t>
            </w:r>
          </w:p>
        </w:tc>
        <w:tc>
          <w:tcPr>
            <w:tcW w:w="3759" w:type="dxa"/>
            <w:shd w:val="clear" w:color="auto" w:fill="EBF1DD"/>
          </w:tcPr>
          <w:p w:rsidR="001830C6" w:rsidRDefault="00656C79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 xml:space="preserve">Deux (02) matchs </w:t>
            </w:r>
            <w:r>
              <w:rPr>
                <w:sz w:val="28"/>
                <w:szCs w:val="28"/>
              </w:rPr>
              <w:t>de suspension fermes Art 54 CD.</w:t>
            </w:r>
          </w:p>
        </w:tc>
        <w:tc>
          <w:tcPr>
            <w:tcW w:w="1744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15/07/2023</w:t>
            </w:r>
          </w:p>
        </w:tc>
        <w:tc>
          <w:tcPr>
            <w:tcW w:w="1443" w:type="dxa"/>
            <w:shd w:val="clear" w:color="auto" w:fill="EBF1DD"/>
          </w:tcPr>
          <w:p w:rsidR="001830C6" w:rsidRDefault="001830C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830C6">
        <w:trPr>
          <w:trHeight w:val="2385"/>
        </w:trPr>
        <w:tc>
          <w:tcPr>
            <w:tcW w:w="1075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MCA</w:t>
            </w:r>
          </w:p>
          <w:p w:rsidR="001830C6" w:rsidRDefault="001830C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75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rFonts w:cs="Aharoni"/>
                <w:b/>
                <w:bCs/>
                <w:sz w:val="28"/>
                <w:szCs w:val="28"/>
              </w:rPr>
              <w:t xml:space="preserve">DTS </w:t>
            </w:r>
          </w:p>
        </w:tc>
        <w:tc>
          <w:tcPr>
            <w:tcW w:w="1245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/</w:t>
            </w:r>
          </w:p>
        </w:tc>
        <w:tc>
          <w:tcPr>
            <w:tcW w:w="1890" w:type="dxa"/>
            <w:shd w:val="clear" w:color="auto" w:fill="EBF1DD"/>
          </w:tcPr>
          <w:p w:rsidR="001830C6" w:rsidRDefault="00656C79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cs="Aharoni"/>
                <w:b/>
                <w:bCs/>
                <w:sz w:val="28"/>
                <w:szCs w:val="28"/>
              </w:rPr>
              <w:t>Mekhazni</w:t>
            </w:r>
            <w:proofErr w:type="spellEnd"/>
            <w:r>
              <w:rPr>
                <w:rFonts w:cs="Aharoni"/>
                <w:b/>
                <w:bCs/>
                <w:sz w:val="28"/>
                <w:szCs w:val="28"/>
              </w:rPr>
              <w:t xml:space="preserve"> Mohamed </w:t>
            </w:r>
            <w:r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30"/>
                <w:szCs w:val="30"/>
                <w:u w:val="single"/>
              </w:rPr>
              <w:t>137</w:t>
            </w:r>
          </w:p>
        </w:tc>
        <w:tc>
          <w:tcPr>
            <w:tcW w:w="1109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30"/>
                <w:szCs w:val="30"/>
                <w:u w:val="single"/>
              </w:rPr>
              <w:t>35</w:t>
            </w:r>
            <w:r>
              <w:rPr>
                <w:sz w:val="30"/>
                <w:szCs w:val="30"/>
                <w:u w:val="single"/>
              </w:rPr>
              <w:t xml:space="preserve"> </w:t>
            </w:r>
            <w:r>
              <w:rPr>
                <w:rFonts w:cs="Aharoni"/>
                <w:b/>
                <w:bCs/>
                <w:sz w:val="24"/>
                <w:szCs w:val="24"/>
              </w:rPr>
              <w:t>(réserve)</w:t>
            </w:r>
          </w:p>
        </w:tc>
        <w:tc>
          <w:tcPr>
            <w:tcW w:w="3759" w:type="dxa"/>
            <w:shd w:val="clear" w:color="auto" w:fill="EBF1DD"/>
          </w:tcPr>
          <w:p w:rsidR="001830C6" w:rsidRDefault="00656C79">
            <w:pPr>
              <w:pStyle w:val="Paragraphedeliste"/>
              <w:tabs>
                <w:tab w:val="left" w:pos="870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Trois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(03) mois </w:t>
            </w:r>
            <w:r>
              <w:rPr>
                <w:sz w:val="28"/>
                <w:szCs w:val="28"/>
              </w:rPr>
              <w:t xml:space="preserve">de suspension fermes </w:t>
            </w:r>
            <w:r w:rsidR="00DE420F">
              <w:rPr>
                <w:sz w:val="28"/>
                <w:szCs w:val="28"/>
              </w:rPr>
              <w:t>(interdiction</w:t>
            </w:r>
            <w:r>
              <w:rPr>
                <w:sz w:val="28"/>
                <w:szCs w:val="28"/>
              </w:rPr>
              <w:t xml:space="preserve"> du terrain et de vestiaires) plus </w:t>
            </w:r>
            <w:r>
              <w:rPr>
                <w:b/>
                <w:bCs/>
                <w:color w:val="FF0000"/>
                <w:sz w:val="28"/>
                <w:szCs w:val="28"/>
              </w:rPr>
              <w:t>200.000 DA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E420F">
              <w:rPr>
                <w:sz w:val="28"/>
                <w:szCs w:val="28"/>
              </w:rPr>
              <w:t>d’amende Art</w:t>
            </w:r>
            <w:r>
              <w:rPr>
                <w:sz w:val="28"/>
                <w:szCs w:val="28"/>
              </w:rPr>
              <w:t xml:space="preserve"> 74CD.</w:t>
            </w:r>
          </w:p>
        </w:tc>
        <w:tc>
          <w:tcPr>
            <w:tcW w:w="1744" w:type="dxa"/>
            <w:shd w:val="clear" w:color="auto" w:fill="EBF1DD"/>
          </w:tcPr>
          <w:p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08/06/2023</w:t>
            </w:r>
          </w:p>
        </w:tc>
        <w:tc>
          <w:tcPr>
            <w:tcW w:w="1443" w:type="dxa"/>
            <w:shd w:val="clear" w:color="auto" w:fill="EBF1DD"/>
          </w:tcPr>
          <w:p w:rsidR="001830C6" w:rsidRDefault="001830C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1830C6" w:rsidRDefault="001830C6">
      <w:pPr>
        <w:rPr>
          <w:sz w:val="30"/>
          <w:szCs w:val="30"/>
          <w:u w:val="single"/>
        </w:rPr>
      </w:pPr>
      <w:bookmarkStart w:id="1" w:name="_gjdgxs" w:colFirst="0" w:colLast="0"/>
      <w:bookmarkEnd w:id="1"/>
    </w:p>
    <w:p w:rsidR="001830C6" w:rsidRDefault="001830C6">
      <w:pPr>
        <w:jc w:val="center"/>
        <w:rPr>
          <w:sz w:val="30"/>
          <w:szCs w:val="30"/>
          <w:u w:val="single"/>
        </w:rPr>
      </w:pPr>
    </w:p>
    <w:p w:rsidR="001830C6" w:rsidRDefault="001830C6">
      <w:pPr>
        <w:rPr>
          <w:sz w:val="30"/>
          <w:szCs w:val="30"/>
          <w:u w:val="single"/>
        </w:rPr>
      </w:pPr>
    </w:p>
    <w:sectPr w:rsidR="001830C6">
      <w:headerReference w:type="default" r:id="rId6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79" w:rsidRDefault="00656C79">
      <w:pPr>
        <w:spacing w:line="240" w:lineRule="auto"/>
      </w:pPr>
      <w:r>
        <w:separator/>
      </w:r>
    </w:p>
  </w:endnote>
  <w:endnote w:type="continuationSeparator" w:id="0">
    <w:p w:rsidR="00656C79" w:rsidRDefault="00656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Segoe Print"/>
    <w:charset w:val="00"/>
    <w:family w:val="auto"/>
    <w:pitch w:val="default"/>
  </w:font>
  <w:font w:name="Aharoni">
    <w:charset w:val="B1"/>
    <w:family w:val="auto"/>
    <w:pitch w:val="default"/>
    <w:sig w:usb0="00000801" w:usb1="00000000" w:usb2="00000000" w:usb3="00000000" w:csb0="00000020" w:csb1="002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79" w:rsidRDefault="00656C79">
      <w:pPr>
        <w:spacing w:after="0"/>
      </w:pPr>
      <w:r>
        <w:separator/>
      </w:r>
    </w:p>
  </w:footnote>
  <w:footnote w:type="continuationSeparator" w:id="0">
    <w:p w:rsidR="00656C79" w:rsidRDefault="00656C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C6" w:rsidRDefault="001830C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C6"/>
    <w:rsid w:val="001830C6"/>
    <w:rsid w:val="00656C79"/>
    <w:rsid w:val="00DE420F"/>
    <w:rsid w:val="2039074A"/>
    <w:rsid w:val="3A4B0EEF"/>
    <w:rsid w:val="401A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829ED-2F2B-4958-A156-211EC26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/>
    <w:lsdException w:name="Closing" w:uiPriority="0"/>
    <w:lsdException w:name="Signature" w:uiPriority="0"/>
    <w:lsdException w:name="Default Paragraph Font" w:semiHidden="1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My PC</cp:lastModifiedBy>
  <cp:revision>2</cp:revision>
  <dcterms:created xsi:type="dcterms:W3CDTF">2023-08-28T20:30:00Z</dcterms:created>
  <dcterms:modified xsi:type="dcterms:W3CDTF">2023-08-28T20:30:00Z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1036-11.2.0.11537</vt:lpwstr>
  </property>
  <property fmtid="{D5CDD505-2E9C-101B-9397-08002B2CF9AE}" pid="3" name="ICV">
    <vt:lpwstr>9A8B8439486A46B8BD282AD5238FA0C7</vt:lpwstr>
  </property>
</Properties>
</file>