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Pr="00905F32" w:rsidRDefault="00EF7360">
      <w:pPr>
        <w:spacing w:after="0" w:line="360" w:lineRule="auto"/>
        <w:jc w:val="center"/>
        <w:rPr>
          <w:rStyle w:val="Accentuation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17EA0608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C53F34">
        <w:rPr>
          <w:sz w:val="36"/>
          <w:szCs w:val="36"/>
          <w:u w:val="single"/>
        </w:rPr>
        <w:t>44</w:t>
      </w:r>
      <w:r>
        <w:rPr>
          <w:sz w:val="36"/>
          <w:szCs w:val="36"/>
          <w:u w:val="single"/>
        </w:rPr>
        <w:t xml:space="preserve"> : Séance du </w:t>
      </w:r>
      <w:r w:rsidR="00C53F34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C53F34">
        <w:rPr>
          <w:sz w:val="36"/>
          <w:szCs w:val="36"/>
          <w:u w:val="single"/>
        </w:rPr>
        <w:t>17</w:t>
      </w:r>
      <w:r w:rsidR="002F5640">
        <w:rPr>
          <w:sz w:val="36"/>
          <w:szCs w:val="36"/>
          <w:u w:val="single"/>
        </w:rPr>
        <w:t xml:space="preserve"> </w:t>
      </w:r>
      <w:r w:rsidR="001F4CCE">
        <w:rPr>
          <w:sz w:val="36"/>
          <w:szCs w:val="36"/>
          <w:u w:val="single"/>
        </w:rPr>
        <w:t>Avril</w:t>
      </w:r>
      <w:r w:rsidR="002F564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50699E9D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A526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5398333A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  <w:r w:rsidR="001F4CCE">
        <w:rPr>
          <w:b/>
          <w:u w:val="single"/>
        </w:rPr>
        <w:t>.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DB55F4B" w14:textId="339135AB" w:rsidR="002F5640" w:rsidRDefault="00EF7360" w:rsidP="00495200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A9E27D0" w14:textId="77777777" w:rsidR="00CA24DA" w:rsidRDefault="00CA24DA" w:rsidP="00C53F34">
      <w:pPr>
        <w:spacing w:after="0" w:line="240" w:lineRule="auto"/>
        <w:ind w:right="-569"/>
        <w:jc w:val="both"/>
      </w:pPr>
    </w:p>
    <w:p w14:paraId="1405A837" w14:textId="5256FA6A" w:rsidR="00FD14D7" w:rsidRDefault="001F4CCE" w:rsidP="0017685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2</w:t>
      </w:r>
      <w:r w:rsidR="00C53F34">
        <w:rPr>
          <w:b/>
          <w:bCs/>
          <w:sz w:val="48"/>
          <w:szCs w:val="48"/>
          <w:u w:val="single"/>
        </w:rPr>
        <w:t>1</w:t>
      </w:r>
      <w:r w:rsidR="00A6564E">
        <w:rPr>
          <w:b/>
          <w:bCs/>
          <w:sz w:val="48"/>
          <w:szCs w:val="48"/>
          <w:u w:val="single"/>
        </w:rPr>
        <w:t>éme Journée</w:t>
      </w:r>
      <w:r w:rsidR="00C53F34">
        <w:rPr>
          <w:b/>
          <w:bCs/>
          <w:sz w:val="48"/>
          <w:szCs w:val="48"/>
          <w:u w:val="single"/>
        </w:rPr>
        <w:t xml:space="preserve"> (Retard)</w:t>
      </w:r>
    </w:p>
    <w:tbl>
      <w:tblPr>
        <w:tblStyle w:val="Style12"/>
        <w:tblW w:w="11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4"/>
      </w:tblGrid>
      <w:tr w:rsidR="00A6564E" w:rsidRPr="002F5640" w14:paraId="40BA8CD1" w14:textId="77777777" w:rsidTr="00905F3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3EBC2151" w:rsidR="00A6564E" w:rsidRPr="002F5640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C53F34">
              <w:rPr>
                <w:rFonts w:cs="Aharoni"/>
                <w:b/>
                <w:bCs/>
                <w:sz w:val="32"/>
                <w:szCs w:val="32"/>
              </w:rPr>
              <w:t>168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C53F34"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C53F34"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C53F34">
              <w:rPr>
                <w:rFonts w:cs="Aharoni"/>
                <w:b/>
                <w:bCs/>
                <w:sz w:val="32"/>
                <w:szCs w:val="32"/>
              </w:rPr>
              <w:t>15</w:t>
            </w:r>
            <w:r w:rsidRPr="002F5640">
              <w:rPr>
                <w:b/>
                <w:sz w:val="32"/>
                <w:szCs w:val="32"/>
              </w:rPr>
              <w:t>.</w:t>
            </w:r>
            <w:r w:rsidR="001F4CCE">
              <w:rPr>
                <w:b/>
                <w:sz w:val="32"/>
                <w:szCs w:val="32"/>
              </w:rPr>
              <w:t>04</w:t>
            </w:r>
            <w:r w:rsidRPr="002F5640">
              <w:rPr>
                <w:b/>
                <w:sz w:val="32"/>
                <w:szCs w:val="32"/>
              </w:rPr>
              <w:t>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7A4047" w:rsidRPr="002F5640" w14:paraId="2F219B1E" w14:textId="77777777" w:rsidTr="00F456B0">
        <w:trPr>
          <w:trHeight w:val="18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4D7D79E0" w:rsidR="007A4047" w:rsidRPr="002F5640" w:rsidRDefault="00C53F34" w:rsidP="007A40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Bensaadallah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Dhirar</w:t>
            </w:r>
            <w:proofErr w:type="spellEnd"/>
            <w:r w:rsidR="00F456B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7685B" w:rsidRPr="002F5640">
              <w:rPr>
                <w:b/>
                <w:sz w:val="32"/>
                <w:szCs w:val="32"/>
              </w:rPr>
              <w:t>n°</w:t>
            </w:r>
            <w:r w:rsidR="001F4CCE"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0160</w:t>
            </w:r>
            <w:r w:rsidR="0017685B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="0017685B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7685B" w:rsidRPr="002F5640">
              <w:rPr>
                <w:sz w:val="32"/>
                <w:szCs w:val="32"/>
              </w:rPr>
              <w:t>Avertissement :</w:t>
            </w:r>
            <w:r w:rsidR="00905F32">
              <w:rPr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C53F34" w:rsidRPr="002F5640" w14:paraId="0C4D982A" w14:textId="77777777" w:rsidTr="00F456B0">
        <w:trPr>
          <w:trHeight w:val="18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0DB10A" w14:textId="1E6CC647" w:rsidR="00C53F34" w:rsidRPr="002F5640" w:rsidRDefault="00C53F34" w:rsidP="00C53F34">
            <w:pPr>
              <w:shd w:val="clear" w:color="auto" w:fill="FFFFFF" w:themeFill="background1"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Lachahab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Sofiane Fouad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0119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53F34" w:rsidRPr="002F5640" w14:paraId="7E8F6254" w14:textId="77777777" w:rsidTr="00F456B0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7A6C0A" w14:textId="02B0BB32" w:rsidR="00C53F34" w:rsidRPr="002F5640" w:rsidRDefault="00C53F34" w:rsidP="00C53F34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Boukaroum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Billal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0113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</w:t>
            </w:r>
            <w:r>
              <w:rPr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bookmarkEnd w:id="0"/>
      <w:tr w:rsidR="00C53F34" w:rsidRPr="002F5640" w14:paraId="089E3DEF" w14:textId="77777777" w:rsidTr="00F456B0">
        <w:trPr>
          <w:trHeight w:val="18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0DFC8B" w14:textId="77C93B15" w:rsidR="00C53F34" w:rsidRPr="002F5640" w:rsidRDefault="00C53F34" w:rsidP="00C53F34">
            <w:pPr>
              <w:tabs>
                <w:tab w:val="left" w:pos="216"/>
              </w:tabs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Ouassa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Younes Abdelhak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0115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</w:t>
            </w:r>
            <w:r>
              <w:rPr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C53F34" w:rsidRPr="002F5640" w14:paraId="565F8315" w14:textId="77777777" w:rsidTr="00F24E77">
        <w:trPr>
          <w:trHeight w:val="40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998A68" w14:textId="5F7FF882" w:rsidR="00C53F34" w:rsidRPr="002F5640" w:rsidRDefault="00C53F34" w:rsidP="00C53F34">
            <w:pPr>
              <w:tabs>
                <w:tab w:val="left" w:pos="216"/>
              </w:tabs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Rahmoune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Azdine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</w:t>
            </w:r>
            <w:r>
              <w:rPr>
                <w:b/>
                <w:sz w:val="32"/>
                <w:szCs w:val="32"/>
              </w:rPr>
              <w:t>D0058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Secrétaire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53F34" w:rsidRPr="002F5640" w14:paraId="630B0459" w14:textId="77777777" w:rsidTr="00F24E77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16C831" w14:textId="0C49B09F" w:rsidR="00C53F34" w:rsidRDefault="00C53F34" w:rsidP="00C53F3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OA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786B0B" w:rsidRPr="002F5640" w14:paraId="17C89946" w14:textId="77777777" w:rsidTr="00F24E77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06287F" w14:textId="0B4C7119" w:rsidR="00786B0B" w:rsidRDefault="00786B0B" w:rsidP="00786B0B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2F5640">
              <w:rPr>
                <w:rFonts w:eastAsia="Times New Roman" w:cs="Arial"/>
                <w:bCs/>
                <w:sz w:val="32"/>
                <w:szCs w:val="32"/>
              </w:rPr>
              <w:lastRenderedPageBreak/>
              <w:t>Suite à l’examen des pièces versées au dossier, et aux rapports des officiels de la rencontre :</w:t>
            </w:r>
          </w:p>
          <w:p w14:paraId="0E9B8136" w14:textId="77777777" w:rsidR="00786B0B" w:rsidRPr="002F5640" w:rsidRDefault="00786B0B" w:rsidP="00786B0B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0BD660C0" w14:textId="77777777" w:rsidR="00786B0B" w:rsidRDefault="00786B0B" w:rsidP="00786B0B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>OA</w:t>
            </w:r>
            <w:r w:rsidRPr="00090286">
              <w:rPr>
                <w:rFonts w:cs="Aharoni"/>
                <w:b/>
                <w:bCs/>
                <w:sz w:val="32"/>
                <w:szCs w:val="32"/>
                <w:u w:val="single"/>
                <w:lang w:bidi="ar"/>
              </w:rPr>
              <w:t xml:space="preserve"> :</w:t>
            </w:r>
            <w:r w:rsidRPr="00090286">
              <w:rPr>
                <w:rFonts w:cs="Aharoni"/>
                <w:sz w:val="32"/>
                <w:szCs w:val="32"/>
                <w:lang w:bidi="ar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 xml:space="preserve">Absence d’entraineur en chef sur la main courante, </w:t>
            </w:r>
            <w:r w:rsidRPr="00090286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090286">
              <w:rPr>
                <w:rFonts w:cs="Aharoni"/>
                <w:sz w:val="32"/>
                <w:szCs w:val="32"/>
              </w:rPr>
              <w:t xml:space="preserve"> 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090286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090286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090286">
              <w:rPr>
                <w:rFonts w:cs="Aharoni"/>
                <w:sz w:val="32"/>
                <w:szCs w:val="32"/>
              </w:rPr>
              <w:t>d’amende ART 51 Dispositions Réglementaires 2024/2025.</w:t>
            </w:r>
          </w:p>
          <w:p w14:paraId="50CF5D6F" w14:textId="77777777" w:rsidR="00786B0B" w:rsidRDefault="00786B0B" w:rsidP="00786B0B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2D4852CC" w14:textId="0A435CD5" w:rsidR="00786B0B" w:rsidRDefault="00786B0B" w:rsidP="00786B0B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4A9D3114" w14:textId="75A73B42" w:rsidR="00786B0B" w:rsidRPr="00466B93" w:rsidRDefault="00786B0B" w:rsidP="00786B0B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de </w:t>
            </w:r>
            <w:r>
              <w:rPr>
                <w:rFonts w:cs="Aharoni"/>
                <w:sz w:val="32"/>
                <w:szCs w:val="32"/>
              </w:rPr>
              <w:t xml:space="preserve">fumigènes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1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r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3A2E2830" w14:textId="59DCA6FB" w:rsidR="00786B0B" w:rsidRDefault="00786B0B" w:rsidP="00786B0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FA6E85" w:rsidRPr="002F5640" w14:paraId="3F85A435" w14:textId="77777777" w:rsidTr="00F24E77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05B1DF" w14:textId="0A645666" w:rsidR="00FA6E85" w:rsidRDefault="00786B0B" w:rsidP="00FA6E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Abdellaoui A</w:t>
            </w:r>
            <w:r w:rsidR="00FD4E78">
              <w:rPr>
                <w:rFonts w:cs="Aharoni"/>
                <w:b/>
                <w:bCs/>
                <w:sz w:val="32"/>
                <w:szCs w:val="32"/>
              </w:rPr>
              <w:t>y</w:t>
            </w:r>
            <w:r>
              <w:rPr>
                <w:rFonts w:cs="Aharoni"/>
                <w:b/>
                <w:bCs/>
                <w:sz w:val="32"/>
                <w:szCs w:val="32"/>
              </w:rPr>
              <w:t>oub</w:t>
            </w:r>
            <w:r w:rsidR="00FA6E8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A6E85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392061006</w:t>
            </w:r>
            <w:r w:rsidR="00FA6E85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FA6E85"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056316">
              <w:rPr>
                <w:rFonts w:cs="Aharoni"/>
                <w:sz w:val="32"/>
                <w:szCs w:val="32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>cumul de cartons</w:t>
            </w:r>
            <w:r>
              <w:rPr>
                <w:rFonts w:cs="Aharoni"/>
                <w:sz w:val="32"/>
                <w:szCs w:val="32"/>
              </w:rPr>
              <w:t xml:space="preserve"> (CD+CD)</w:t>
            </w:r>
            <w:r w:rsidRPr="00056316">
              <w:rPr>
                <w:rFonts w:cs="Aharoni"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cs="Aharoni"/>
                <w:sz w:val="32"/>
                <w:szCs w:val="32"/>
              </w:rPr>
              <w:t>Un</w:t>
            </w:r>
            <w:r w:rsidRPr="00056316">
              <w:rPr>
                <w:rFonts w:cs="Aharoni"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056316">
              <w:rPr>
                <w:rFonts w:cs="Aharoni"/>
                <w:b/>
                <w:bCs/>
                <w:sz w:val="32"/>
                <w:szCs w:val="32"/>
              </w:rPr>
              <w:t>) match</w:t>
            </w:r>
            <w:r w:rsidRPr="00056316">
              <w:rPr>
                <w:rFonts w:cs="Aharoni"/>
                <w:sz w:val="32"/>
                <w:szCs w:val="32"/>
              </w:rPr>
              <w:t xml:space="preserve"> de suspension ferme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 xml:space="preserve">plus </w:t>
            </w:r>
            <w:r w:rsidR="00920BC2">
              <w:rPr>
                <w:rFonts w:cs="Aharoni"/>
                <w:b/>
                <w:bCs/>
                <w:color w:val="FF0000"/>
                <w:sz w:val="32"/>
                <w:szCs w:val="32"/>
              </w:rPr>
              <w:t>200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 w:rsidRPr="00056316">
              <w:rPr>
                <w:rFonts w:cs="Aharoni"/>
                <w:sz w:val="32"/>
                <w:szCs w:val="32"/>
              </w:rPr>
              <w:t xml:space="preserve"> </w:t>
            </w:r>
            <w:r w:rsidRPr="00056316">
              <w:rPr>
                <w:rFonts w:cs="Aharoni"/>
                <w:sz w:val="32"/>
                <w:szCs w:val="32"/>
              </w:rPr>
              <w:t xml:space="preserve">Art </w:t>
            </w:r>
            <w:r>
              <w:rPr>
                <w:rFonts w:cs="Aharoni"/>
                <w:sz w:val="32"/>
                <w:szCs w:val="32"/>
              </w:rPr>
              <w:t>44</w:t>
            </w:r>
            <w:r w:rsidRPr="00056316">
              <w:rPr>
                <w:rFonts w:cs="Aharoni"/>
                <w:sz w:val="32"/>
                <w:szCs w:val="32"/>
              </w:rPr>
              <w:t xml:space="preserve"> CD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FA6E85" w:rsidRPr="002F5640" w14:paraId="0472268A" w14:textId="77777777" w:rsidTr="00905F32">
        <w:trPr>
          <w:trHeight w:val="2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6B5A3F" w14:textId="3F6AED92" w:rsidR="00FA6E85" w:rsidRDefault="00920BC2" w:rsidP="00FA6E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Benkhemassa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</w:t>
            </w:r>
            <w:r w:rsidR="00FA6E8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FA6E85"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396082002</w:t>
            </w:r>
            <w:r w:rsidR="00FA6E85"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FA6E8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920BC2" w:rsidRPr="002F5640" w14:paraId="7E1F2630" w14:textId="77777777" w:rsidTr="00920BC2">
        <w:trPr>
          <w:trHeight w:val="93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C0879C" w14:textId="6F2F5194" w:rsidR="00920BC2" w:rsidRPr="002F5640" w:rsidRDefault="00920BC2" w:rsidP="00920BC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Naidji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Zakaria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591091002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MCA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377BD0" w:rsidRPr="002F5640" w14:paraId="5802C75E" w14:textId="77777777" w:rsidTr="00920BC2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4570BC" w14:textId="3CDCDBE2" w:rsidR="00377BD0" w:rsidRDefault="00377BD0" w:rsidP="00377BD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Bouras Akram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24N01J</w:t>
            </w:r>
            <w:r>
              <w:rPr>
                <w:b/>
                <w:sz w:val="32"/>
                <w:szCs w:val="32"/>
              </w:rPr>
              <w:t>0224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Avertissement :</w:t>
            </w:r>
            <w:r>
              <w:rPr>
                <w:sz w:val="32"/>
                <w:szCs w:val="32"/>
              </w:rPr>
              <w:t xml:space="preserve"> </w:t>
            </w:r>
            <w:r w:rsidRPr="002F5640">
              <w:rPr>
                <w:sz w:val="32"/>
                <w:szCs w:val="32"/>
              </w:rPr>
              <w:t>jeux dangereux.</w:t>
            </w:r>
          </w:p>
        </w:tc>
      </w:tr>
      <w:tr w:rsidR="00377BD0" w:rsidRPr="002F5640" w14:paraId="2EE58144" w14:textId="77777777" w:rsidTr="00920BC2">
        <w:trPr>
          <w:trHeight w:val="16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7490D8" w14:textId="590EBBEE" w:rsidR="00377BD0" w:rsidRDefault="00377BD0" w:rsidP="00377BD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Menezla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101060002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MCA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377BD0" w:rsidRPr="002F5640" w14:paraId="14333565" w14:textId="77777777" w:rsidTr="00377BD0">
        <w:trPr>
          <w:trHeight w:val="132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90CDC7" w14:textId="025484C9" w:rsidR="00377BD0" w:rsidRDefault="00377BD0" w:rsidP="00377BD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Cheriet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Fouad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2F5640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24N01E0121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MCA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Entraineur des gardiens de but </w:t>
            </w:r>
            <w:r w:rsidRPr="002F5640">
              <w:rPr>
                <w:sz w:val="32"/>
                <w:szCs w:val="32"/>
              </w:rPr>
              <w:t xml:space="preserve">Avertissement : </w:t>
            </w:r>
            <w:r w:rsidRPr="002F5640">
              <w:rPr>
                <w:rFonts w:cs="Aharoni"/>
                <w:sz w:val="32"/>
                <w:szCs w:val="32"/>
              </w:rPr>
              <w:t>C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Pr="002F5640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Pr="002F5640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2F5640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6061FD" w:rsidRPr="002F5640" w14:paraId="0372BE4C" w14:textId="77777777" w:rsidTr="00920BC2">
        <w:trPr>
          <w:trHeight w:val="197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68F459" w14:textId="38158BE2" w:rsidR="006061FD" w:rsidRDefault="006061FD" w:rsidP="006061F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MCA</w:t>
            </w:r>
            <w:r w:rsidRPr="00FA6E8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FA6E8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FA6E8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FA6E85">
              <w:rPr>
                <w:rFonts w:cs="Aharoni"/>
                <w:sz w:val="32"/>
                <w:szCs w:val="32"/>
              </w:rPr>
              <w:t xml:space="preserve"> : </w:t>
            </w:r>
            <w:r w:rsidRPr="00FA6E8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FA6E8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FA6E85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6061FD" w:rsidRPr="002F5640" w14:paraId="65EF30FE" w14:textId="77777777" w:rsidTr="00905F32">
        <w:trPr>
          <w:trHeight w:val="16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F55D9E" w14:textId="77777777" w:rsidR="006061FD" w:rsidRDefault="006061FD" w:rsidP="006061F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5154B25" w14:textId="77777777" w:rsidR="006061FD" w:rsidRDefault="006061FD" w:rsidP="006061FD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CF08EA0" w14:textId="20153778" w:rsidR="006061FD" w:rsidRDefault="006061FD" w:rsidP="006061FD">
            <w:pPr>
              <w:tabs>
                <w:tab w:val="left" w:pos="216"/>
              </w:tabs>
              <w:spacing w:after="0" w:line="240" w:lineRule="auto"/>
              <w:rPr>
                <w:rFonts w:eastAsia="Times New Roman"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 xml:space="preserve">(Art 49, résolution de bureau fédérale N44 du 27/03/2025) </w:t>
            </w:r>
            <w:r>
              <w:rPr>
                <w:rFonts w:eastAsia="Times New Roman" w:cs="Aharoni"/>
                <w:b/>
                <w:bCs/>
                <w:sz w:val="32"/>
                <w:szCs w:val="32"/>
              </w:rPr>
              <w:t>:</w:t>
            </w:r>
          </w:p>
          <w:p w14:paraId="639C7534" w14:textId="22697E03" w:rsidR="006061FD" w:rsidRPr="00466B93" w:rsidRDefault="006061FD" w:rsidP="006061FD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-Utilisation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de </w:t>
            </w:r>
            <w:r>
              <w:rPr>
                <w:rFonts w:cs="Aharoni"/>
                <w:sz w:val="32"/>
                <w:szCs w:val="32"/>
              </w:rPr>
              <w:t xml:space="preserve">fumigènes et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projectiles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3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66B93"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)</w:t>
            </w:r>
          </w:p>
          <w:p w14:paraId="16CD8836" w14:textId="516C6F64" w:rsidR="006061FD" w:rsidRDefault="006061FD" w:rsidP="006061F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466B93">
              <w:rPr>
                <w:rFonts w:cs="Aharoni"/>
                <w:sz w:val="32"/>
                <w:szCs w:val="32"/>
              </w:rPr>
              <w:t>-</w:t>
            </w:r>
            <w:r w:rsidRPr="00466B93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 w:rsidRPr="00466B93">
              <w:rPr>
                <w:rFonts w:cs="Aharoni"/>
                <w:sz w:val="32"/>
                <w:szCs w:val="32"/>
              </w:rPr>
              <w:t xml:space="preserve"> Mise en garde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600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194C9A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466B93"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</w:tbl>
    <w:p w14:paraId="360BB1B9" w14:textId="4C4DDDB1" w:rsidR="00EB1404" w:rsidRDefault="00DA52BD" w:rsidP="002F5640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gramStart"/>
      <w:r w:rsidR="002179C9">
        <w:rPr>
          <w:b/>
          <w:bCs/>
          <w:color w:val="000000"/>
        </w:rPr>
        <w:t>a</w:t>
      </w:r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p w14:paraId="77526161" w14:textId="08F06A9C" w:rsidR="000B48AC" w:rsidRDefault="000B48AC" w:rsidP="000B48AC">
      <w:pPr>
        <w:pStyle w:val="NormalWeb"/>
        <w:jc w:val="both"/>
        <w:rPr>
          <w:color w:val="000000"/>
          <w:sz w:val="27"/>
          <w:szCs w:val="27"/>
        </w:rPr>
      </w:pPr>
    </w:p>
    <w:sectPr w:rsidR="000B48AC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1E5C" w14:textId="77777777" w:rsidR="00076DF0" w:rsidRDefault="00076DF0">
      <w:pPr>
        <w:spacing w:line="240" w:lineRule="auto"/>
      </w:pPr>
      <w:r>
        <w:separator/>
      </w:r>
    </w:p>
  </w:endnote>
  <w:endnote w:type="continuationSeparator" w:id="0">
    <w:p w14:paraId="4D312BE0" w14:textId="77777777" w:rsidR="00076DF0" w:rsidRDefault="00076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C5FDC" w14:textId="77777777" w:rsidR="00076DF0" w:rsidRDefault="00076DF0">
      <w:pPr>
        <w:spacing w:after="0"/>
      </w:pPr>
      <w:r>
        <w:separator/>
      </w:r>
    </w:p>
  </w:footnote>
  <w:footnote w:type="continuationSeparator" w:id="0">
    <w:p w14:paraId="30A94F67" w14:textId="77777777" w:rsidR="00076DF0" w:rsidRDefault="00076D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7B59A8" w:rsidRDefault="007B59A8">
    <w:pPr>
      <w:pStyle w:val="En-tte"/>
    </w:pPr>
  </w:p>
  <w:p w14:paraId="7142FB28" w14:textId="77777777" w:rsidR="007B59A8" w:rsidRDefault="007B59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2680D"/>
    <w:rsid w:val="00031A06"/>
    <w:rsid w:val="0003313D"/>
    <w:rsid w:val="00037D6B"/>
    <w:rsid w:val="000416C0"/>
    <w:rsid w:val="000422BD"/>
    <w:rsid w:val="00042590"/>
    <w:rsid w:val="000455D0"/>
    <w:rsid w:val="00050329"/>
    <w:rsid w:val="00050593"/>
    <w:rsid w:val="0005199E"/>
    <w:rsid w:val="00056316"/>
    <w:rsid w:val="00063CB0"/>
    <w:rsid w:val="00070007"/>
    <w:rsid w:val="000714D8"/>
    <w:rsid w:val="000745E6"/>
    <w:rsid w:val="0007615D"/>
    <w:rsid w:val="00076DF0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B48AC"/>
    <w:rsid w:val="000C0381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4CCE"/>
    <w:rsid w:val="001F5046"/>
    <w:rsid w:val="00203790"/>
    <w:rsid w:val="002056D4"/>
    <w:rsid w:val="00205F4B"/>
    <w:rsid w:val="002067C6"/>
    <w:rsid w:val="00207E46"/>
    <w:rsid w:val="0021271F"/>
    <w:rsid w:val="002179C9"/>
    <w:rsid w:val="00222177"/>
    <w:rsid w:val="00224E11"/>
    <w:rsid w:val="00225115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77BD0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41B1"/>
    <w:rsid w:val="003D42CA"/>
    <w:rsid w:val="003D4A6C"/>
    <w:rsid w:val="003D5051"/>
    <w:rsid w:val="003E0BFE"/>
    <w:rsid w:val="003E179D"/>
    <w:rsid w:val="003E1E10"/>
    <w:rsid w:val="003E4A76"/>
    <w:rsid w:val="003E69E8"/>
    <w:rsid w:val="003E6A75"/>
    <w:rsid w:val="003F1790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188F"/>
    <w:rsid w:val="0046366B"/>
    <w:rsid w:val="00467F2C"/>
    <w:rsid w:val="0047051E"/>
    <w:rsid w:val="00470FD8"/>
    <w:rsid w:val="00472DAD"/>
    <w:rsid w:val="0047334A"/>
    <w:rsid w:val="0047557A"/>
    <w:rsid w:val="004755A3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FB5"/>
    <w:rsid w:val="00536DEF"/>
    <w:rsid w:val="00537511"/>
    <w:rsid w:val="00540643"/>
    <w:rsid w:val="00542ED4"/>
    <w:rsid w:val="0054628C"/>
    <w:rsid w:val="005523BA"/>
    <w:rsid w:val="00560130"/>
    <w:rsid w:val="0056178D"/>
    <w:rsid w:val="00563273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A7EBC"/>
    <w:rsid w:val="005B08E6"/>
    <w:rsid w:val="005B2274"/>
    <w:rsid w:val="005B5E7F"/>
    <w:rsid w:val="005B69AF"/>
    <w:rsid w:val="005C5994"/>
    <w:rsid w:val="005C72A5"/>
    <w:rsid w:val="005C7593"/>
    <w:rsid w:val="005D0AFC"/>
    <w:rsid w:val="005D0EA8"/>
    <w:rsid w:val="005D245C"/>
    <w:rsid w:val="005D63F5"/>
    <w:rsid w:val="005E2936"/>
    <w:rsid w:val="005E2FF3"/>
    <w:rsid w:val="005E335B"/>
    <w:rsid w:val="005E7566"/>
    <w:rsid w:val="005F10F6"/>
    <w:rsid w:val="005F398F"/>
    <w:rsid w:val="005F43D3"/>
    <w:rsid w:val="005F5163"/>
    <w:rsid w:val="005F77AC"/>
    <w:rsid w:val="0060095D"/>
    <w:rsid w:val="00600A34"/>
    <w:rsid w:val="00603F68"/>
    <w:rsid w:val="00603FB2"/>
    <w:rsid w:val="00604B9B"/>
    <w:rsid w:val="0060557F"/>
    <w:rsid w:val="006061FD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9460F"/>
    <w:rsid w:val="00695BBD"/>
    <w:rsid w:val="00696AF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2B30"/>
    <w:rsid w:val="00764069"/>
    <w:rsid w:val="00765D08"/>
    <w:rsid w:val="00772BD0"/>
    <w:rsid w:val="00773332"/>
    <w:rsid w:val="007755ED"/>
    <w:rsid w:val="00776524"/>
    <w:rsid w:val="00781D67"/>
    <w:rsid w:val="0078448D"/>
    <w:rsid w:val="00786B0B"/>
    <w:rsid w:val="00790138"/>
    <w:rsid w:val="007904E1"/>
    <w:rsid w:val="007917C5"/>
    <w:rsid w:val="007945F5"/>
    <w:rsid w:val="00794919"/>
    <w:rsid w:val="00796BDC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5FAB"/>
    <w:rsid w:val="007D6F23"/>
    <w:rsid w:val="007E31E2"/>
    <w:rsid w:val="007E4368"/>
    <w:rsid w:val="007E5ACE"/>
    <w:rsid w:val="007E61B5"/>
    <w:rsid w:val="007E684A"/>
    <w:rsid w:val="007E7BB7"/>
    <w:rsid w:val="007F0562"/>
    <w:rsid w:val="007F2552"/>
    <w:rsid w:val="007F6428"/>
    <w:rsid w:val="00805F52"/>
    <w:rsid w:val="00807FB9"/>
    <w:rsid w:val="008103D8"/>
    <w:rsid w:val="00817726"/>
    <w:rsid w:val="00820477"/>
    <w:rsid w:val="008213FD"/>
    <w:rsid w:val="00826870"/>
    <w:rsid w:val="00831FEE"/>
    <w:rsid w:val="00832E28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C7A6F"/>
    <w:rsid w:val="008D0B7D"/>
    <w:rsid w:val="008D4485"/>
    <w:rsid w:val="008D4956"/>
    <w:rsid w:val="008D6815"/>
    <w:rsid w:val="008D6BD7"/>
    <w:rsid w:val="008E0CF1"/>
    <w:rsid w:val="008E1325"/>
    <w:rsid w:val="008E1C47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0BC2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0DAC"/>
    <w:rsid w:val="0096190D"/>
    <w:rsid w:val="00962872"/>
    <w:rsid w:val="00962B18"/>
    <w:rsid w:val="00965CD4"/>
    <w:rsid w:val="00971D1E"/>
    <w:rsid w:val="00973594"/>
    <w:rsid w:val="00975E86"/>
    <w:rsid w:val="00976FA1"/>
    <w:rsid w:val="009839F1"/>
    <w:rsid w:val="00985839"/>
    <w:rsid w:val="009870BF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E66B9"/>
    <w:rsid w:val="009F0C78"/>
    <w:rsid w:val="009F134D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EF6"/>
    <w:rsid w:val="00A7327C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B0"/>
    <w:rsid w:val="00AC0214"/>
    <w:rsid w:val="00AC088E"/>
    <w:rsid w:val="00AC10BB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2D27"/>
    <w:rsid w:val="00B44412"/>
    <w:rsid w:val="00B46472"/>
    <w:rsid w:val="00B467D8"/>
    <w:rsid w:val="00B50B3F"/>
    <w:rsid w:val="00B517CE"/>
    <w:rsid w:val="00B55B5A"/>
    <w:rsid w:val="00B56604"/>
    <w:rsid w:val="00B56EE9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2D6E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D3F26"/>
    <w:rsid w:val="00BE05DF"/>
    <w:rsid w:val="00BF0BBD"/>
    <w:rsid w:val="00BF2FE3"/>
    <w:rsid w:val="00BF459C"/>
    <w:rsid w:val="00BF48FF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3F34"/>
    <w:rsid w:val="00C56754"/>
    <w:rsid w:val="00C67226"/>
    <w:rsid w:val="00C678F6"/>
    <w:rsid w:val="00C71837"/>
    <w:rsid w:val="00C73C29"/>
    <w:rsid w:val="00C81B12"/>
    <w:rsid w:val="00C8201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D7DF3"/>
    <w:rsid w:val="00CE0559"/>
    <w:rsid w:val="00CE24C1"/>
    <w:rsid w:val="00CE2D49"/>
    <w:rsid w:val="00CE5990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73DF7"/>
    <w:rsid w:val="00D805C0"/>
    <w:rsid w:val="00D81A6C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C7C70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4674"/>
    <w:rsid w:val="00E3475F"/>
    <w:rsid w:val="00E410E2"/>
    <w:rsid w:val="00E42339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2A03"/>
    <w:rsid w:val="00F42CCD"/>
    <w:rsid w:val="00F44FAF"/>
    <w:rsid w:val="00F456B0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47A"/>
    <w:rsid w:val="00FA5930"/>
    <w:rsid w:val="00FA64FB"/>
    <w:rsid w:val="00FA6E85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D4E78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1774-B7FC-43DD-BC27-B2FD17A1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2025-04-17T13:40:00Z</cp:lastPrinted>
  <dcterms:created xsi:type="dcterms:W3CDTF">2025-04-17T16:54:00Z</dcterms:created>
  <dcterms:modified xsi:type="dcterms:W3CDTF">2025-04-17T16:54:00Z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